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D12" w:rsidRPr="00036D12" w:rsidRDefault="00036D12" w:rsidP="00036D12">
      <w:pPr>
        <w:widowControl/>
        <w:shd w:val="clear" w:color="auto" w:fill="FFFFFF"/>
        <w:jc w:val="center"/>
        <w:outlineLvl w:val="1"/>
        <w:rPr>
          <w:rFonts w:ascii="Arial" w:eastAsia="宋体" w:hAnsi="Arial" w:cs="Arial"/>
          <w:b/>
          <w:bCs/>
          <w:color w:val="184576"/>
          <w:kern w:val="0"/>
          <w:sz w:val="36"/>
          <w:szCs w:val="36"/>
        </w:rPr>
      </w:pPr>
      <w:bookmarkStart w:id="0" w:name="_GoBack"/>
      <w:bookmarkEnd w:id="0"/>
      <w:r w:rsidRPr="00036D12">
        <w:rPr>
          <w:rFonts w:ascii="Arial" w:eastAsia="宋体" w:hAnsi="Arial" w:cs="Arial"/>
          <w:b/>
          <w:bCs/>
          <w:color w:val="184576"/>
          <w:kern w:val="0"/>
          <w:sz w:val="36"/>
          <w:szCs w:val="36"/>
        </w:rPr>
        <w:t>工业互联网平台可信服务评估认证活动常见问题解答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1、工业互联网平台可信评测面向的服务对象有哪些？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联盟会员或非会员单位均可，联盟提供对外服务。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  <w:t> 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2、工业互联网平台可信服务评测是否收费？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目前试评测阶段，无论是否为联盟会员单位均暂不收费。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  <w:t> 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3、同一公司的多个工业互联网平台是否可分开评测？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 一个平台一评，可为通过的多个平台分别发放可信服务评测证书。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  <w:t> 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4、参加评测的工业互联网平台是否必须提供对外服务？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现试评测阶段，评测对象为对外服务平台，内部自用或解决方案可参考标准自评提高平台能力，下一阶段，联盟将开展相关评测服务。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  <w:t> 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5、什么样的工业互联网平台可以申请评测？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参评工业互联网平台须具备基础设施、工业连接、工业数据管理、面向工业的开放服务能力，但具体能力指标无门槛，聚焦承诺指标的真实性评测，具体方法见联盟标准《工业互联网平台 可信服务评估评测要求》。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  <w:t> 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· 基础设施（可租用或自建）</w:t>
      </w: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：为工业提供存储、计算和网络资源，以及基础框架、存储框架、计算框架、消息系统等支撑能力用户可以调用这些资源和支撑能力。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  <w:t> 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· 工业连接</w:t>
      </w: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：为用户提供与生产设备、自动化系统、智能产品、边缘网关以及外部数据源的连接能力，包括协议转换、数据采集能力等。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  <w:t> 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· 工业数据管理服务</w:t>
      </w: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：为用户提供数据管理和服务的通用基础功能。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  <w:t> 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· 面向工业的开放服务能力</w:t>
      </w: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：提供开发支撑环境、运行支撑环境、服务调用与编排、业务运行管理和多租户管理等支撑功能，应用可以通过统一的调用接口获取平台提供的</w:t>
      </w:r>
      <w:proofErr w:type="gramStart"/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云基础</w:t>
      </w:r>
      <w:proofErr w:type="gramEnd"/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设施、数据、分析处理等能力。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6、评测前准备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（1）按照联盟标准《工业互联网平台 可信服务评估评测要求》第7章“指标定义和规范性描述”准备服务等级协议（SLA）公开承诺服务能力，涵盖“平台基础设施建设”“平台连接”“工业数据管理服务”“平台服务”“权益保障”五大方面24个指标。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（2）准备证明SLA当中承诺内容真实性的证明材料，资质证明包括基础设施租用证明的扫描件、企业经营牌照扫描件等；技术指标证明材料包括截图、测试报告等。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7、评测方法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使用联盟提供的系统进行评测。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（1）系统登陆方法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用户进入电脑端页面，需先进行注册。注册审核请等待2-3个工作日。（http://124.204.54.51:8080/IIPEvaluation/）。审核通过后可凭账号密码登陆系统。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（2）系统使用说明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·</w:t>
      </w: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 登陆后首先进行企业信息填报，并按要求提供具有证明公信力的资质证书、证明等供后台审核。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· </w:t>
      </w: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平台测试需按照左侧导航栏顺序进行，即填报企业信息-添加平台信息-阅读评估介绍-开展评估评测。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· </w:t>
      </w: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部分测试项提供了</w:t>
      </w:r>
      <w:proofErr w:type="gramStart"/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在线云测</w:t>
      </w:r>
      <w:proofErr w:type="gramEnd"/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内容（主要涉及MQTT和HTTP协议），</w:t>
      </w:r>
      <w:proofErr w:type="gramStart"/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云测内容</w:t>
      </w:r>
      <w:proofErr w:type="gramEnd"/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为可选，如果测试不通过，可选择通过提交附件材料（包括：操作截图、操作记录等）的方式进行评测。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· </w:t>
      </w: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评测项目提交后，联盟将组织专家进行内审，并择时组织企业进行现场答辩。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8、一次工业互联网平台可信评测的时间为多长？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评测时间长短取决于参评单位材料准备情况。在参评单位材料准备充分、完整、符合要求的情况下，评测单位原则上会在一周内完成材料审查。然后等待进入季度专家评审。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9、工业互联网平台可信服务评测发证时间？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评测发证需要召开专家评审会议，现阶段，上半年（7月）和下半年（12月）各安排一次专家评审会议，专家评审会后，通过评审的企业，在2周内可取得可信服务评测的证书。每年的评测结果，会在峰会上统一公布。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微软雅黑" w:eastAsia="微软雅黑" w:hAnsi="微软雅黑" w:cs="Arial" w:hint="eastAsia"/>
          <w:b/>
          <w:bCs/>
          <w:color w:val="393939"/>
          <w:kern w:val="0"/>
          <w:sz w:val="24"/>
          <w:szCs w:val="24"/>
        </w:rPr>
        <w:t>10、工业互联网平台可信服务评测证书有效期多长？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微软雅黑" w:eastAsia="微软雅黑" w:hAnsi="微软雅黑" w:cs="Arial" w:hint="eastAsia"/>
          <w:color w:val="393939"/>
          <w:kern w:val="0"/>
          <w:sz w:val="24"/>
          <w:szCs w:val="24"/>
        </w:rPr>
        <w:t>证书有效期1年。平台功版本能升级等，第2年需要对增项等重新进行评测。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</w:r>
      <w:r w:rsidRPr="00036D12">
        <w:rPr>
          <w:rFonts w:ascii="Arial" w:eastAsia="宋体" w:hAnsi="Arial" w:cs="Arial"/>
          <w:color w:val="393939"/>
          <w:kern w:val="0"/>
          <w:szCs w:val="21"/>
        </w:rPr>
        <w:br/>
        <w:t> </w:t>
      </w:r>
    </w:p>
    <w:p w:rsidR="00036D12" w:rsidRPr="00036D12" w:rsidRDefault="00036D12" w:rsidP="00036D12">
      <w:pPr>
        <w:widowControl/>
        <w:shd w:val="clear" w:color="auto" w:fill="FFFFFF"/>
        <w:spacing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Arial" w:eastAsia="宋体" w:hAnsi="Arial" w:cs="Arial"/>
          <w:color w:val="393939"/>
          <w:kern w:val="0"/>
          <w:szCs w:val="21"/>
        </w:rPr>
        <w:t> </w:t>
      </w:r>
    </w:p>
    <w:p w:rsidR="00036D12" w:rsidRPr="00036D12" w:rsidRDefault="00036D12" w:rsidP="00036D12">
      <w:pPr>
        <w:widowControl/>
        <w:shd w:val="clear" w:color="auto" w:fill="FFFFFF"/>
        <w:spacing w:after="300"/>
        <w:jc w:val="center"/>
        <w:outlineLvl w:val="2"/>
        <w:rPr>
          <w:rFonts w:ascii="Arial" w:eastAsia="宋体" w:hAnsi="Arial" w:cs="Arial"/>
          <w:b/>
          <w:bCs/>
          <w:color w:val="393939"/>
          <w:kern w:val="0"/>
          <w:sz w:val="27"/>
          <w:szCs w:val="27"/>
        </w:rPr>
      </w:pPr>
      <w:r w:rsidRPr="00036D12">
        <w:rPr>
          <w:rFonts w:ascii="Arial" w:eastAsia="宋体" w:hAnsi="Arial" w:cs="Arial"/>
          <w:b/>
          <w:bCs/>
          <w:color w:val="393939"/>
          <w:kern w:val="0"/>
          <w:sz w:val="27"/>
          <w:szCs w:val="27"/>
        </w:rPr>
        <w:t>声明</w:t>
      </w:r>
    </w:p>
    <w:p w:rsidR="00036D12" w:rsidRPr="00036D12" w:rsidRDefault="00036D12" w:rsidP="00036D12">
      <w:pPr>
        <w:widowControl/>
        <w:shd w:val="clear" w:color="auto" w:fill="FFFFFF"/>
        <w:spacing w:after="300" w:line="432" w:lineRule="atLeast"/>
        <w:ind w:firstLine="420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Arial" w:eastAsia="宋体" w:hAnsi="Arial" w:cs="Arial"/>
          <w:color w:val="393939"/>
          <w:kern w:val="0"/>
          <w:szCs w:val="21"/>
        </w:rPr>
        <w:t>本报告所载的材料和信息，包括但不限于文本、图片、数据、观点、建议，不构成法律建议，也不应替代律师意见。本报告所有材料或内容的知识产权</w:t>
      </w:r>
      <w:proofErr w:type="gramStart"/>
      <w:r w:rsidRPr="00036D12">
        <w:rPr>
          <w:rFonts w:ascii="Arial" w:eastAsia="宋体" w:hAnsi="Arial" w:cs="Arial"/>
          <w:color w:val="393939"/>
          <w:kern w:val="0"/>
          <w:szCs w:val="21"/>
        </w:rPr>
        <w:t>归工业</w:t>
      </w:r>
      <w:proofErr w:type="gramEnd"/>
      <w:r w:rsidRPr="00036D12">
        <w:rPr>
          <w:rFonts w:ascii="Arial" w:eastAsia="宋体" w:hAnsi="Arial" w:cs="Arial"/>
          <w:color w:val="393939"/>
          <w:kern w:val="0"/>
          <w:szCs w:val="21"/>
        </w:rPr>
        <w:t>互联网产业联盟所有（注明是引自其他方的内容除外），并受法律保护。如需转载，需联系本联盟并获得授权许可。未经授权许可，任何人不得将报告的全部或部分内容以发布、转载、汇编、转让、出售等方式使用，不得将报告的全部或部分内容通过网络方式传播，不得在任何公开场合使用报告内相关描述及相关数据图表。违反上述声明者，本联盟将追究其相关法律责任。</w:t>
      </w:r>
    </w:p>
    <w:p w:rsidR="00036D12" w:rsidRPr="00036D12" w:rsidRDefault="00036D12" w:rsidP="00036D12">
      <w:pPr>
        <w:widowControl/>
        <w:shd w:val="clear" w:color="auto" w:fill="FFFFFF"/>
        <w:jc w:val="right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Arial" w:eastAsia="宋体" w:hAnsi="Arial" w:cs="Arial"/>
          <w:color w:val="393939"/>
          <w:kern w:val="0"/>
          <w:szCs w:val="21"/>
        </w:rPr>
        <w:t>工业互联网产业联盟</w:t>
      </w:r>
    </w:p>
    <w:p w:rsidR="00036D12" w:rsidRPr="00036D12" w:rsidRDefault="00036D12" w:rsidP="00036D12">
      <w:pPr>
        <w:widowControl/>
        <w:shd w:val="clear" w:color="auto" w:fill="FFFFFF"/>
        <w:jc w:val="right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Arial" w:eastAsia="宋体" w:hAnsi="Arial" w:cs="Arial"/>
          <w:color w:val="393939"/>
          <w:kern w:val="0"/>
          <w:szCs w:val="21"/>
        </w:rPr>
        <w:t>联系电话：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t>010-62305887</w:t>
      </w:r>
    </w:p>
    <w:p w:rsidR="00036D12" w:rsidRPr="00036D12" w:rsidRDefault="00036D12" w:rsidP="00036D12">
      <w:pPr>
        <w:widowControl/>
        <w:shd w:val="clear" w:color="auto" w:fill="FFFFFF"/>
        <w:jc w:val="right"/>
        <w:rPr>
          <w:rFonts w:ascii="Arial" w:eastAsia="宋体" w:hAnsi="Arial" w:cs="Arial"/>
          <w:color w:val="393939"/>
          <w:kern w:val="0"/>
          <w:szCs w:val="21"/>
        </w:rPr>
      </w:pPr>
      <w:r w:rsidRPr="00036D12">
        <w:rPr>
          <w:rFonts w:ascii="Arial" w:eastAsia="宋体" w:hAnsi="Arial" w:cs="Arial"/>
          <w:color w:val="393939"/>
          <w:kern w:val="0"/>
          <w:szCs w:val="21"/>
        </w:rPr>
        <w:t>邮箱：</w:t>
      </w:r>
      <w:r w:rsidRPr="00036D12">
        <w:rPr>
          <w:rFonts w:ascii="Arial" w:eastAsia="宋体" w:hAnsi="Arial" w:cs="Arial"/>
          <w:color w:val="393939"/>
          <w:kern w:val="0"/>
          <w:szCs w:val="21"/>
        </w:rPr>
        <w:t>aii@caict.ac.cn</w:t>
      </w:r>
    </w:p>
    <w:p w:rsidR="00653BBB" w:rsidRPr="00036D12" w:rsidRDefault="00653BBB"/>
    <w:sectPr w:rsidR="00653BBB" w:rsidRPr="00036D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D12"/>
    <w:rsid w:val="00036D12"/>
    <w:rsid w:val="005D61EE"/>
    <w:rsid w:val="0065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2CEBE5-8B11-457E-B02A-063C746C4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36D1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36D1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36D1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036D12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036D12"/>
    <w:rPr>
      <w:b/>
      <w:bCs/>
    </w:rPr>
  </w:style>
  <w:style w:type="character" w:customStyle="1" w:styleId="apple-converted-space">
    <w:name w:val="apple-converted-space"/>
    <w:basedOn w:val="a0"/>
    <w:rsid w:val="00036D12"/>
  </w:style>
  <w:style w:type="paragraph" w:styleId="a4">
    <w:name w:val="Normal (Web)"/>
    <w:basedOn w:val="a"/>
    <w:uiPriority w:val="99"/>
    <w:semiHidden/>
    <w:unhideWhenUsed/>
    <w:rsid w:val="00036D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7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0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1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2204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670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448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861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caict</dc:creator>
  <cp:keywords/>
  <dc:description/>
  <cp:lastModifiedBy>caict</cp:lastModifiedBy>
  <cp:revision>1</cp:revision>
  <dcterms:created xsi:type="dcterms:W3CDTF">2020-07-23T01:47:00Z</dcterms:created>
  <dcterms:modified xsi:type="dcterms:W3CDTF">2020-07-23T01:48:00Z</dcterms:modified>
</cp:coreProperties>
</file>